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2c2a07beb410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12288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OREBIĆ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782.083,97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819.726,26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882.818,22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809.605,31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10.120,95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11.496,94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11.496,94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10.120,95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Pravilnikom o izmjenama i dopunama Pravilnika o proračunskom računovodstvu i Računskom planu (Narodne novine br. 154/24) koji je u primjeni  od 1. siječnja 2025. godine podskupina računa 193 Kontinuirani rashodi budućih razdoblja se ukida s danom 1. siječnja 2025. godine. Početno stanje kontinuiranih rashoda budućih razdoblja prenosi se na odgovarajuće račune razreda 3 Rashodi poslovanja. </w:t>
      </w:r>
    </w:p>
    <w:p>
      <w:r>
        <w:t xml:space="preserve">Višak prihoda poslovanja odnosi se na uplate MZOM za PDS i  higijenske potrepštine. Uplate za glazbenu školu, izlete, donacije te najam dvorane.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4.422,20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9.521,54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215,3</w:t>
            </w:r>
          </w:p>
        </w:tc>
      </w:tr>
    </w:tbl>
    <w:p>
      <w:pPr>
        <w:spacing w:before="0" w:after="0"/>
      </w:pPr>
    </w:p>
    <w:p>
      <w:r>
        <w:t xml:space="preserve">U prošloj godini nismo imali uplate roditelja za izlete, ove godine su bile uplate.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2.183,28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36,1</w:t>
            </w:r>
          </w:p>
        </w:tc>
      </w:tr>
    </w:tbl>
    <w:p>
      <w:pPr>
        <w:spacing w:before="0" w:after="0"/>
      </w:pPr>
    </w:p>
    <w:p>
      <w:r>
        <w:t xml:space="preserve">U odnosu na prošlu godinu, prihod od najma dvorane je manji.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U odnosu na prošlu godinu dobili smo donacije roditelja.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745.971,45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672.872,53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90,2</w:t>
            </w:r>
          </w:p>
        </w:tc>
      </w:tr>
    </w:tbl>
    <w:p>
      <w:pPr>
        <w:spacing w:before="0" w:after="0"/>
      </w:pPr>
    </w:p>
    <w:p>
      <w:r>
        <w:t xml:space="preserve">Pravilnikom o izmjenama i dopunama Pravilnika o proračunskom računovodstvu i Računskom planu (Narodne novine br. 154/24) koji je u primjeni  od 1. siječnja 2025. godine podskupina računa 193 Kontinuirani rashodi budućih razdoblja se ukida s danom 1. siječnja 2025. godine. Početno stanje kontinuiranih rashoda budućih razdoblja prenosi se na odgovarajuće račune razreda 3 Rashodi poslovanja. Zbog toga su rashodi za zaposlene u ovom obračunskom razdoblju, u odnosu na isto obračunsko  razdoblje prošle godine manji.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4.918,05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6.978,27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141,9</w:t>
            </w:r>
          </w:p>
        </w:tc>
      </w:tr>
    </w:tbl>
    <w:p>
      <w:pPr>
        <w:spacing w:before="0" w:after="0"/>
      </w:pPr>
    </w:p>
    <w:p>
      <w:r>
        <w:t xml:space="preserve">Povećane su cijene komunalnih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1.344,69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1.509,57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112,3</w:t>
            </w:r>
          </w:p>
        </w:tc>
      </w:tr>
    </w:tbl>
    <w:p>
      <w:pPr>
        <w:spacing w:before="0" w:after="0"/>
      </w:pPr>
    </w:p>
    <w:p>
      <w:r>
        <w:t xml:space="preserve">Od 1. siječnja 2026. godine škola je u sustavu pune riznice, te je prešla na novi knjigovodstveni program čije su usluge korištenja i održavanja računalnih programa veće.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298,77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Od 1. siječnja 2026. godine škola je u sustavu pune riznice i više nema svoj žiro-račun pa sukladno tome ni rashod za bankarske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105.933,55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116.899,54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110,4</w:t>
            </w:r>
          </w:p>
        </w:tc>
      </w:tr>
    </w:tbl>
    <w:p>
      <w:pPr>
        <w:spacing w:before="0" w:after="0"/>
      </w:pPr>
    </w:p>
    <w:p>
      <w:r>
        <w:t xml:space="preserve">Obračunati prihodi poslovanja - nenaplaćeni odnose se na plaću zaposlenika, prijevoz zaposlenika, naknadu za nezapošljavanje invalida za 6/2026., te prehranu za 6/2026.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- preneseni (šifre 92221+92222-92211-92212)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9221x,9222x MP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98.709,97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Manjak prihoda i primitaka se odnosi na plaću zaposlenika, prijevoz zaposlenika, naknadu za nezapošljavanje invalida za 12/2025., školsku prehranu za 12/2025, plaću za pomoćnika u nastavi za 12/2025, te dio materijalnih troškova za 12/2025. </w:t>
      </w:r>
    </w:p>
    <w:p>
      <w:r>
        <w:t xml:space="preserve">Sredstva za podmirenje ovih troškova škola je u siječnju 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31.018,46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Saldo je 0,00 iz razloga što smo od 07.01.2026. prešli u lokalnu riznicu DNŽ.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Škola nema dospjelih obveza u izvještajnom razdoblju.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608843c9a54eab" /></Relationships>
</file>